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20.png" ContentType="image/png"/>
  <Override PartName="/word/media/rId130.png" ContentType="image/png"/>
  <Override PartName="/word/media/rId125.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 
</w:t>
      </w:r>
      <w:r>
        <w:br/>
      </w:r>
      <m:oMath>
        <m:sSup>
          <m:e>
            <m:r>
              <m:t>​</m:t>
            </m:r>
          </m:e>
          <m:sup>
            <m:r>
              <m:t>2</m:t>
            </m:r>
          </m:sup>
        </m:sSup>
      </m:oMath>
      <w:r>
        <w:t xml:space="preserve"> </w:t>
      </w:r>
      <w:r>
        <w:t xml:space="preserve">Ecology and Evolution Research Centre, School of Biological, Earth and Environmental Sciences, University of New South Wales, Sydney, NSW, Australia 
</w:t>
      </w:r>
      <w:r>
        <w:br/>
      </w:r>
      <m:oMath>
        <m:sSup>
          <m:e>
            <m:r>
              <m:t>​</m:t>
            </m:r>
          </m:e>
          <m:sup>
            <m:r>
              <m:t>3</m:t>
            </m:r>
          </m:sup>
        </m:sSup>
      </m:oMath>
      <w:r>
        <w:t xml:space="preserve"> </w:t>
      </w:r>
      <w:r>
        <w:t xml:space="preserve">SOLES, University of Sydney, Sydney, NSW, Australia 
</w:t>
      </w:r>
      <w:r>
        <w:br/>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(Nunney 2016; Chevin &amp; Hoffmann 2017; Scheiner</w:t>
      </w:r>
      <w:r>
        <w:t xml:space="preserve"> </w:t>
      </w:r>
      <w:r>
        <w:rPr>
          <w:iCs/>
          <w:i/>
        </w:rPr>
        <w:t xml:space="preserve">et al.</w:t>
      </w:r>
      <w:r>
        <w:t xml:space="preserve"> </w:t>
      </w:r>
      <w:r>
        <w:t xml:space="preserve">2020)</w:t>
      </w:r>
      <w:r>
        <w:t xml:space="preserve">. Despite this theoretical expectation, empirical support is scant [], likely because many organisms can behaviorally adjust micro-habitat selection to offset thermal stress, the costs of plasticity are high</w:t>
      </w:r>
      <w:r>
        <w:t xml:space="preserve"> </w:t>
      </w:r>
      <w:r>
        <w:t xml:space="preserve">(Chevin &amp; Lande 2015)</w:t>
      </w:r>
      <w:r>
        <w:t xml:space="preserve">,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(for example, through</w:t>
      </w:r>
      <w:r>
        <w:t xml:space="preserve"> </w:t>
      </w:r>
      <w:r>
        <w:t xml:space="preserve">‘</w:t>
      </w:r>
      <w:r>
        <w:t xml:space="preserve">portfolio effects</w:t>
      </w:r>
      <w:r>
        <w:t xml:space="preserve">’</w:t>
      </w:r>
      <w:r>
        <w:t xml:space="preserve"> </w:t>
      </w:r>
      <w:r>
        <w:t xml:space="preserve">see Schindler</w:t>
      </w:r>
      <w:r>
        <w:t xml:space="preserve"> </w:t>
      </w:r>
      <w:r>
        <w:rPr>
          <w:iCs/>
          <w:i/>
        </w:rPr>
        <w:t xml:space="preserve">et al.</w:t>
      </w:r>
      <w:r>
        <w:t xml:space="preserve"> </w:t>
      </w:r>
      <w:r>
        <w:t xml:space="preserve">2010;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(Scheiner</w:t>
      </w:r>
      <w:r>
        <w:t xml:space="preserve"> </w:t>
      </w:r>
      <w:r>
        <w:rPr>
          <w:iCs/>
          <w:i/>
        </w:rPr>
        <w:t xml:space="preserve">et al.</w:t>
      </w:r>
      <w:r>
        <w:t xml:space="preserve"> </w:t>
      </w:r>
      <w:r>
        <w:t xml:space="preserve">2020)</w:t>
      </w:r>
      <w:r>
        <w:t xml:space="preserve">. The implications of changes in variance could therefore have wide-reaching implications for understanding the capacity for populations to adapt to novel environments</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Low oxygen availability has been suggested as a major factor influencing the vulnerability of aquatic ecosystems whereas remaining close to thermal limits is expected to be a stronger constraint on physiological processes in terrestrial ectotherms.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w:t>
      </w:r>
    </w:p>
    <w:p>
      <w:pPr>
        <w:pStyle w:val="BodyText"/>
      </w:pPr>
      <w:r>
        <w:t xml:space="preserve">Here, we use meta-analysis and new effect sizes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2.19.0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predictability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94.68% of the locations.</w:t>
      </w:r>
    </w:p>
    <w:p>
      <w:pPr>
        <w:pStyle w:val="BodyText"/>
      </w:pPr>
      <w:r>
        <w:t xml:space="preserve">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-0.54% change in variance for freshwater systems (95% CI: -8.5 to 8.55%,</w:t>
      </w:r>
      <w:r>
        <w:t xml:space="preserve"> </w:t>
      </w:r>
      <m:oMath>
        <m:sSub>
          <m:e>
            <m:r>
              <m:t>p</m:t>
            </m:r>
          </m:e>
          <m:sub>
            <m:r>
              <m:t>M</m:t>
            </m:r>
            <m:r>
              <m:t>C</m:t>
            </m:r>
            <m:r>
              <m:t>M</m:t>
            </m:r>
            <m:r>
              <m:t>C</m:t>
            </m:r>
          </m:sub>
        </m:sSub>
      </m:oMath>
      <w:r>
        <w:t xml:space="preserve"> </w:t>
      </w:r>
      <w:r>
        <w:t xml:space="preserve">= 0.89), whereas we expect a 3.67% reduction in variance for marine systems (95% CI: -7.8 to 2.52%,</w:t>
      </w:r>
      <w:r>
        <w:t xml:space="preserve"> </w:t>
      </w:r>
      <m:oMath>
        <m:sSub>
          <m:e>
            <m:r>
              <m:t>p</m:t>
            </m:r>
          </m:e>
          <m:sub>
            <m:r>
              <m:t>M</m:t>
            </m:r>
            <m:r>
              <m:t>C</m:t>
            </m:r>
            <m:r>
              <m:t>M</m:t>
            </m:r>
            <m:r>
              <m:t>C</m:t>
            </m:r>
          </m:sub>
        </m:sSub>
      </m:oMath>
      <w:r>
        <w:t xml:space="preserve"> </w:t>
      </w:r>
      <w:r>
        <w:t xml:space="preserve">= 0.34) and a 13.21% reduction in variance for terrestrial systems (95% CI: -21.48 to -6.68%,</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19" w:name="references"/>
    <w:p>
      <w:pPr>
        <w:pStyle w:val="Heading2"/>
      </w:pPr>
      <w:r>
        <w:t xml:space="preserve">References</w:t>
      </w:r>
    </w:p>
    <w:p>
      <w:pPr>
        <w:pStyle w:val="FirstParagraph"/>
      </w:pPr>
    </w:p>
    <w:bookmarkStart w:id="118"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77"/>
    <w:bookmarkStart w:id="78"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78"/>
    <w:bookmarkStart w:id="79"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79"/>
    <w:bookmarkStart w:id="80"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80"/>
    <w:bookmarkStart w:id="81"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81"/>
    <w:bookmarkStart w:id="82"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2"/>
    <w:bookmarkStart w:id="83"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83"/>
    <w:bookmarkStart w:id="84"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84"/>
    <w:bookmarkStart w:id="85"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5"/>
    <w:bookmarkStart w:id="86"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6"/>
    <w:bookmarkStart w:id="87"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7"/>
    <w:bookmarkStart w:id="88"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8"/>
    <w:bookmarkStart w:id="89"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89"/>
    <w:bookmarkStart w:id="90"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90"/>
    <w:bookmarkStart w:id="91"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91"/>
    <w:bookmarkStart w:id="92"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92"/>
    <w:bookmarkStart w:id="93"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93"/>
    <w:bookmarkStart w:id="94"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94"/>
    <w:bookmarkStart w:id="95"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95"/>
    <w:bookmarkStart w:id="96"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96"/>
    <w:bookmarkStart w:id="97"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7"/>
    <w:bookmarkStart w:id="98"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98"/>
    <w:bookmarkStart w:id="99"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9"/>
    <w:bookmarkStart w:id="100"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00"/>
    <w:bookmarkStart w:id="101"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01"/>
    <w:bookmarkStart w:id="10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02"/>
    <w:bookmarkStart w:id="103"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03"/>
    <w:bookmarkStart w:id="104"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04"/>
    <w:bookmarkStart w:id="105"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05"/>
    <w:bookmarkStart w:id="10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06"/>
    <w:bookmarkStart w:id="107"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07"/>
    <w:bookmarkStart w:id="108"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08"/>
    <w:bookmarkStart w:id="109"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09"/>
    <w:bookmarkStart w:id="110"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10"/>
    <w:bookmarkStart w:id="111"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11"/>
    <w:bookmarkStart w:id="112"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12"/>
    <w:bookmarkStart w:id="113"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13"/>
    <w:bookmarkStart w:id="114"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14"/>
    <w:bookmarkStart w:id="115"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15"/>
    <w:bookmarkStart w:id="116"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16"/>
    <w:bookmarkStart w:id="117"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17"/>
    <w:bookmarkEnd w:id="118"/>
    <w:p>
      <w:pPr>
        <w:pStyle w:val="BodyText"/>
      </w:pPr>
    </w:p>
    <w:bookmarkEnd w:id="119"/>
    <w:bookmarkStart w:id="135" w:name="supplemental-results-and-figures"/>
    <w:p>
      <w:pPr>
        <w:pStyle w:val="Heading2"/>
      </w:pPr>
      <w:r>
        <w:t xml:space="preserve">Supplemental Results and Figures</w:t>
      </w:r>
    </w:p>
    <w:bookmarkStart w:id="124"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23" w:name="fig-s1"/>
          <w:p>
            <w:pPr>
              <w:pStyle w:val="Figure"/>
              <w:jc w:val="center"/>
            </w:pPr>
            <w:r>
              <w:drawing>
                <wp:inline>
                  <wp:extent cx="6680200" cy="4647095"/>
                  <wp:effectExtent b="0" l="0" r="0" t="0"/>
                  <wp:docPr descr="" title="" id="121" name="Picture"/>
                  <a:graphic>
                    <a:graphicData uri="http://schemas.openxmlformats.org/drawingml/2006/picture">
                      <pic:pic>
                        <pic:nvPicPr>
                          <pic:cNvPr descr="ms_files/figure-docx/fig-s1-1.png" id="122" name="Picture"/>
                          <pic:cNvPicPr>
                            <a:picLocks noChangeArrowheads="1" noChangeAspect="1"/>
                          </pic:cNvPicPr>
                        </pic:nvPicPr>
                        <pic:blipFill>
                          <a:blip r:embed="rId120"/>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23"/>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0bde6df1-c719-4be4-a699-f34ff387f4bf"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bde6df1-c719-4be4-a699-f34ff387f4bf"/>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24"/>
    <w:bookmarkStart w:id="129"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28" w:name="fig-s3"/>
          <w:p>
            <w:pPr>
              <w:pStyle w:val="Figure"/>
              <w:jc w:val="center"/>
            </w:pPr>
            <w:r>
              <w:drawing>
                <wp:inline>
                  <wp:extent cx="6680200" cy="2379821"/>
                  <wp:effectExtent b="0" l="0" r="0" t="0"/>
                  <wp:docPr descr="" title="" id="126" name="Picture"/>
                  <a:graphic>
                    <a:graphicData uri="http://schemas.openxmlformats.org/drawingml/2006/picture">
                      <pic:pic>
                        <pic:nvPicPr>
                          <pic:cNvPr descr="ms_files/figure-docx/fig-s3-1.png" id="127" name="Picture"/>
                          <pic:cNvPicPr>
                            <a:picLocks noChangeArrowheads="1" noChangeAspect="1"/>
                          </pic:cNvPicPr>
                        </pic:nvPicPr>
                        <pic:blipFill>
                          <a:blip r:embed="rId125"/>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28"/>
        </w:tc>
      </w:tr>
    </w:tbl>
    <w:bookmarkEnd w:id="129"/>
    <w:bookmarkStart w:id="134"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33" w:name="fig-s2"/>
          <w:p>
            <w:pPr>
              <w:pStyle w:val="Figure"/>
              <w:jc w:val="center"/>
            </w:pPr>
            <w:r>
              <w:drawing>
                <wp:inline>
                  <wp:extent cx="6680200" cy="2788257"/>
                  <wp:effectExtent b="0" l="0" r="0" t="0"/>
                  <wp:docPr descr="" title="" id="131" name="Picture"/>
                  <a:graphic>
                    <a:graphicData uri="http://schemas.openxmlformats.org/drawingml/2006/picture">
                      <pic:pic>
                        <pic:nvPicPr>
                          <pic:cNvPr descr="ms_files/figure-docx/fig-s2-1.png" id="132" name="Picture"/>
                          <pic:cNvPicPr>
                            <a:picLocks noChangeArrowheads="1" noChangeAspect="1"/>
                          </pic:cNvPicPr>
                        </pic:nvPicPr>
                        <pic:blipFill>
                          <a:blip r:embed="rId130"/>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33"/>
        </w:tc>
      </w:tr>
    </w:tbl>
    <w:bookmarkEnd w:id="134"/>
    <w:bookmarkEnd w:id="135"/>
    <w:sectPr w:rsidR="00AC5C93" w:rsidSect="009F5736">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20" Target="media/rId120.png" /><Relationship Type="http://schemas.openxmlformats.org/officeDocument/2006/relationships/image" Id="rId130" Target="media/rId130.png" /><Relationship Type="http://schemas.openxmlformats.org/officeDocument/2006/relationships/image" Id="rId125" Target="media/rId12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2023-12-06T20:14:50Z</dcterms:created>
  <dcterms:modified xsi:type="dcterms:W3CDTF">2023-12-06T20:14:50Z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